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2868" w:rsidRDefault="00C32868" w:rsidP="00624E4D">
      <w:pPr>
        <w:jc w:val="both"/>
        <w:rPr>
          <w:b/>
          <w:sz w:val="24"/>
          <w:szCs w:val="24"/>
        </w:rPr>
      </w:pPr>
    </w:p>
    <w:p w:rsidR="002F79DD" w:rsidRPr="002F79DD" w:rsidRDefault="002F79DD" w:rsidP="00624E4D">
      <w:pPr>
        <w:jc w:val="both"/>
        <w:rPr>
          <w:b/>
          <w:sz w:val="24"/>
          <w:szCs w:val="24"/>
        </w:rPr>
      </w:pPr>
      <w:bookmarkStart w:id="0" w:name="_GoBack"/>
      <w:r w:rsidRPr="002F79DD">
        <w:rPr>
          <w:b/>
          <w:sz w:val="24"/>
          <w:szCs w:val="24"/>
        </w:rPr>
        <w:t>Corte di Cassazione Penale sezione I, sentenza n. 58468 del 28 dicembre 2018</w:t>
      </w:r>
    </w:p>
    <w:bookmarkEnd w:id="0"/>
    <w:p w:rsidR="00204DDA" w:rsidRDefault="00204DDA" w:rsidP="00624E4D">
      <w:pPr>
        <w:jc w:val="both"/>
      </w:pPr>
      <w:r>
        <w:t>RITENUTO IN FATTO</w:t>
      </w:r>
    </w:p>
    <w:p w:rsidR="00204DDA" w:rsidRDefault="00204DDA" w:rsidP="00624E4D">
      <w:pPr>
        <w:jc w:val="both"/>
      </w:pPr>
      <w:r>
        <w:t xml:space="preserve">1. Con il provvedimento impugnato, la Corte d'appello di Catania, in parziale riforma della sentenza pronunciata dal Tribunale di Catania in data 18/07/2014, ha assolto GS dal delitto di cui all'art. 75, comma 2, d.lgs. n. 159 del 2011 (capo A) e, previa riqualificazione del fatto di cui al capo B (art. 116 </w:t>
      </w:r>
      <w:proofErr w:type="spellStart"/>
      <w:r>
        <w:t>C.d.S</w:t>
      </w:r>
      <w:proofErr w:type="spellEnd"/>
      <w:r>
        <w:t xml:space="preserve">.) nella contravvenzione di cui all'art. 73 d.lgs. n. 159 del 2011 commessa in data 17/07/2012, ha rideterminato la pena in mesi dieci di arresto. </w:t>
      </w:r>
    </w:p>
    <w:p w:rsidR="00204DDA" w:rsidRDefault="00204DDA" w:rsidP="00624E4D">
      <w:pPr>
        <w:jc w:val="both"/>
      </w:pPr>
      <w:r>
        <w:t xml:space="preserve">2. Ricorre GS, a mezzo del difensore avv. SM che chiede l'annullamento della sentenza impugnata, denunciando: </w:t>
      </w:r>
    </w:p>
    <w:p w:rsidR="00204DDA" w:rsidRDefault="00204DDA" w:rsidP="00624E4D">
      <w:pPr>
        <w:jc w:val="both"/>
      </w:pPr>
      <w:r>
        <w:t xml:space="preserve">- il vizio della motivazione con riguardo alla riqualificazione del fatto di cui al capo B) nell'ipotesi contravvenzionale di cui all'articolo 73 decreto legislativo n. 159 del 2011, essendosi contraddittoriamente affermato, con la pronuncia assolutoria dalla condotta di cui al capo A) (art. 75, comma 2, d.lgs. n. 159 del 2011)/contestata nella forma della violazione degli obblighi inerenti alla misura di prevenzione per essersi posto alla guida del ciclomotore senza patente, che tale condotta è insussistente alla luce della sentenza delle Sezioni Unite n. 40.076 del 27 aprile 2017 (primo motivo); </w:t>
      </w:r>
    </w:p>
    <w:p w:rsidR="00204DDA" w:rsidRDefault="00204DDA" w:rsidP="00624E4D">
      <w:pPr>
        <w:jc w:val="both"/>
      </w:pPr>
      <w:r>
        <w:t xml:space="preserve">- la violazione di legge (art. 73 d.lgs. n. 159 del 2011) e il vizio della motivazione con riguardo alla mancata valutazione dell'attualità della pericolosità al momento del fatto (Corte </w:t>
      </w:r>
      <w:proofErr w:type="spellStart"/>
      <w:r>
        <w:t>cost</w:t>
      </w:r>
      <w:proofErr w:type="spellEnd"/>
      <w:r>
        <w:t xml:space="preserve">. n. 291 del 2013), tenuto conto che la misura di prevenzione era stata sospesa a seguito dell'arresto e ripristinata soltanto in data 19 luglio 2012, cioè dopo l'accertamento del fatto per cui si procede (secondo motivo); </w:t>
      </w:r>
    </w:p>
    <w:p w:rsidR="00204DDA" w:rsidRDefault="00204DDA" w:rsidP="00624E4D">
      <w:pPr>
        <w:jc w:val="both"/>
      </w:pPr>
      <w:r>
        <w:t xml:space="preserve">- la violazione di legge poiché la condotta, già qualificata alla stregua dell'articolo 116, comma 13, d.lgs. n. 285 del 1992, non è penalmente sanzionata trattandosi della guida di un ciclomotore con cilindrata fino a 50 cm 3, sottoposta alla sanzione amministrativa dell'articolo 116, comma 13-bis, stesso decreto (terzo motivo); </w:t>
      </w:r>
    </w:p>
    <w:p w:rsidR="00204DDA" w:rsidRDefault="00204DDA" w:rsidP="00624E4D">
      <w:pPr>
        <w:jc w:val="both"/>
      </w:pPr>
      <w:r>
        <w:t xml:space="preserve">- la violazione di legge (artt. 5 e 47 cod. </w:t>
      </w:r>
      <w:proofErr w:type="spellStart"/>
      <w:r>
        <w:t>pen</w:t>
      </w:r>
      <w:proofErr w:type="spellEnd"/>
      <w:r>
        <w:t xml:space="preserve">.) e il vizio della motivazione con riguardo alla incolpevole ignoranza della legge penale e, comunque all'errore di fatto concernente la necessità della patente di guida per la conduzione dei ciclomotori (quarto motivo); </w:t>
      </w:r>
    </w:p>
    <w:p w:rsidR="00204DDA" w:rsidRDefault="00204DDA" w:rsidP="00624E4D">
      <w:pPr>
        <w:jc w:val="both"/>
      </w:pPr>
      <w:r>
        <w:t xml:space="preserve">- la violazione di legge in relazione all'articolo 81 cod. </w:t>
      </w:r>
      <w:proofErr w:type="spellStart"/>
      <w:proofErr w:type="gramStart"/>
      <w:r>
        <w:t>pen</w:t>
      </w:r>
      <w:proofErr w:type="spellEnd"/>
      <w:r>
        <w:t>.,</w:t>
      </w:r>
      <w:proofErr w:type="gramEnd"/>
      <w:r>
        <w:t xml:space="preserve"> per essere stata cc esclusa la continuazione </w:t>
      </w:r>
      <w:proofErr w:type="spellStart"/>
      <w:r>
        <w:t>ip</w:t>
      </w:r>
      <w:proofErr w:type="spellEnd"/>
      <w:r>
        <w:t>-en i fatti giudicati con la sentenza del Tribunale di Catania del 24 settembre 2012 relativa alla medesima violazione dell'articolo 73 d.lgs. n. 159 del 2011, commessa in data 29 luglio 2012 (quinto motivo);</w:t>
      </w:r>
    </w:p>
    <w:p w:rsidR="00204DDA" w:rsidRDefault="00204DDA" w:rsidP="00624E4D">
      <w:pPr>
        <w:jc w:val="both"/>
      </w:pPr>
      <w:r>
        <w:t xml:space="preserve">- la violazione di legge (artt. 62-bis e 133 cod. </w:t>
      </w:r>
      <w:proofErr w:type="spellStart"/>
      <w:r>
        <w:t>pen</w:t>
      </w:r>
      <w:proofErr w:type="spellEnd"/>
      <w:r>
        <w:t xml:space="preserve">.) e il vizio della motivazione con riguardo la quantificazione della pena e alla mancata concessione delle circostanze attenuanti generiche (sesto motivo). </w:t>
      </w:r>
    </w:p>
    <w:p w:rsidR="00204DDA" w:rsidRDefault="00204DDA" w:rsidP="00624E4D">
      <w:pPr>
        <w:jc w:val="both"/>
      </w:pPr>
      <w:r>
        <w:t>CONSIDERATO IN DIRITTO</w:t>
      </w:r>
    </w:p>
    <w:p w:rsidR="00204DDA" w:rsidRDefault="00204DDA" w:rsidP="00624E4D">
      <w:pPr>
        <w:jc w:val="both"/>
      </w:pPr>
      <w:r>
        <w:t>1. Il terzo motivo di ricorso, avente carattere assorbente, è fondato, sicché la sentenza va annullata senza rinvio perché il fatto non sussiste.</w:t>
      </w:r>
    </w:p>
    <w:p w:rsidR="00204DDA" w:rsidRDefault="00204DDA" w:rsidP="00624E4D">
      <w:pPr>
        <w:jc w:val="both"/>
      </w:pPr>
      <w:r>
        <w:lastRenderedPageBreak/>
        <w:t>2. Fino al 13 ottobre 2011, data di entrata in vigore del decreto legislativo 6 settembre 2011, n. 159, portante «Codice delle leggi antimafia e delle misure di prevenzione, nonché nuove disposizioni in materia di documentazione antimafia, a norma degli articoli 1 e 2 della legge 13 agosto 2010, n. 136», la condotta del sottoposto alla misura di prevenzione che conduce un veicolo senza essere in possesso della patente era sanzionata dall'art. 6 della legge n. 575 del 1965, secondo il quale: «nel caso di guida di un autoveicolo o motoveicolo, senza patente, o dopo che la patente sia stata negata, sospesa o revocata, ai sensi dell'articolo 82 e dell'articolo 91, secondo e terz'ultimo comma, n. 2) del decreto presidenziale 15 giugno 1959, n. 393, la pena è dell'arresto da sei mesi a tre anni, qualora si tratti di persona già sottoposta, con provvedimento definitivo, a misure di prevenzione». Il nuovo art. 73 d.lgs. n. 159/2011, in perfetta continuità normativa, ha previsto che: «nel caso di guida di un autoveicolo o motoveicolo, senza patente, o dopo che la patente sia stata negata, sospesa o revocata, la pena è dell'arresto da sei mesi a tre anni, qualora si tratti di persona già sottoposta, con provvedimento definitivo, a una misura di prevenzione personale».</w:t>
      </w:r>
    </w:p>
    <w:p w:rsidR="00204DDA" w:rsidRDefault="00204DDA" w:rsidP="00624E4D">
      <w:pPr>
        <w:jc w:val="both"/>
      </w:pPr>
      <w:r>
        <w:t xml:space="preserve">2.1. Si noti che la condotta in discorso, già punita dall'art. 6 I. n. 575/1965 e ora sanzionata dall'art. 73 d.l.gs. n. 159/2011, pur poggiando su un elemento comune alla violazione del codice della strada, è dotata di autonoma forza incriminatrice tanto che si è affermato che «la guida senza patente, pur dopo la depenalizzazione disposta con l'art. 116 del nuovo codice della strada, approvato con D.P.R. 30 aprile 1992 n. 285, continua a integrare ipotesi di illecito penale allorché sia posta in essere da persona alla quale sia stata applicata, con provvedimento definitivo, una misura di prevenzione» (Sez. 1, n. 13626 del 18/02/2003, </w:t>
      </w:r>
      <w:proofErr w:type="spellStart"/>
      <w:r>
        <w:t>Tilenni</w:t>
      </w:r>
      <w:proofErr w:type="spellEnd"/>
      <w:r>
        <w:t xml:space="preserve"> Scaglione, </w:t>
      </w:r>
      <w:proofErr w:type="spellStart"/>
      <w:r>
        <w:t>Rv</w:t>
      </w:r>
      <w:proofErr w:type="spellEnd"/>
      <w:r>
        <w:t xml:space="preserve">. 224019). La precisazione non è ultronea in quanto la condotta di guida senza patente prevista dal codice della strada non è oggi più prevista dalla legge come reato a seguito dell'entrata in vigore dell'art. 1, d.lgs. n. 8/2016, che ha trasformato in illecito amministrativo il reato di cui all'art. 116, comma 16, Cod. strada. Alla data del fatto, tale condotta, prevista dall'art. 116, comma 13, cod. strada, come modificato dall'art. 1 del decreto-legge 3 agosto 2007, n. 117, era così formulata: «Chiunque guida autoveicoli o motoveicoli senza aver conseguito la patente di guida è punito con l'ammenda da euro 2.257 a euro 9.032; la stessa sanzione si applica ai conducenti che guidano senza patente perché revocata o non rinnovata per mancanza dei requisiti previsti dal presente codice. Nell'ipotesi di reiterazione del reato nel biennio si applica altresì la pena dell'arresto fino ad un anno. Per le violazioni di cui al presente comma è competente il tribunale in composizione monocratica». </w:t>
      </w:r>
    </w:p>
    <w:p w:rsidR="00204DDA" w:rsidRDefault="00204DDA" w:rsidP="00624E4D">
      <w:pPr>
        <w:jc w:val="both"/>
      </w:pPr>
      <w:r>
        <w:t xml:space="preserve">2.2. Conclusivamente, sul punto, deve essere ricordato il costante orientamento di legittimità secondo il quale «dall'entrata in vigore del </w:t>
      </w:r>
      <w:proofErr w:type="spellStart"/>
      <w:r>
        <w:t>D.Lgs.</w:t>
      </w:r>
      <w:proofErr w:type="spellEnd"/>
      <w:r>
        <w:t xml:space="preserve"> n. 159 del 2011 (cosiddetto Codice antimafia), il sottoposto a misura di prevenzione al quale sia stata sospesa, revocata o negata la patente di guida che viene colto alla guida di auto o motociclo è punito ai sensi </w:t>
      </w:r>
      <w:proofErr w:type="spellStart"/>
      <w:r>
        <w:t>derart</w:t>
      </w:r>
      <w:proofErr w:type="spellEnd"/>
      <w:r>
        <w:t xml:space="preserve">. 73 del medesimo </w:t>
      </w:r>
      <w:proofErr w:type="spellStart"/>
      <w:r>
        <w:t>D.Lgs.</w:t>
      </w:r>
      <w:proofErr w:type="spellEnd"/>
      <w:r>
        <w:t xml:space="preserve"> n. 159, norma quest'ultima da considerarsi speciale rispetto all'art. 116 </w:t>
      </w:r>
      <w:proofErr w:type="spellStart"/>
      <w:r>
        <w:t>C.d.S</w:t>
      </w:r>
      <w:proofErr w:type="spellEnd"/>
      <w:r>
        <w:t xml:space="preserve">» (Sez. 1, n. 27828 del 13/06/2013, Magliuolo, </w:t>
      </w:r>
      <w:proofErr w:type="spellStart"/>
      <w:r>
        <w:t>Rv</w:t>
      </w:r>
      <w:proofErr w:type="spellEnd"/>
      <w:r>
        <w:t xml:space="preserve">. 255992). </w:t>
      </w:r>
    </w:p>
    <w:p w:rsidR="00624E4D" w:rsidRDefault="00204DDA" w:rsidP="00624E4D">
      <w:pPr>
        <w:jc w:val="both"/>
      </w:pPr>
      <w:r>
        <w:t xml:space="preserve">3. Ciò premesso, deve escludersi che la conduzione di un ciclomotore (cilindrata inferiore a 50 cm3), per il quale non è previsto il conseguimento della patente di guida, ma unicamente un certificato di idoneità, costituisca la violazione dell'articolo 73 d.lgs. n. 159 del 2011, come pure della previgente incriminazione prevista dall'articolo 116, comma 13, cod. strada (Sez. 4, n. 23631 del 19/04/2012, </w:t>
      </w:r>
      <w:proofErr w:type="spellStart"/>
      <w:r>
        <w:t>Geanta</w:t>
      </w:r>
      <w:proofErr w:type="spellEnd"/>
      <w:r>
        <w:t xml:space="preserve">, </w:t>
      </w:r>
      <w:proofErr w:type="spellStart"/>
      <w:r>
        <w:t>Rv</w:t>
      </w:r>
      <w:proofErr w:type="spellEnd"/>
      <w:r>
        <w:t xml:space="preserve">. 253129), perché la fattispecie incriminatrice fa univoco riferimento alla conduzione degli autoveicoli e dei motoveicoli per i quali è richiesta la patente di guida. </w:t>
      </w:r>
    </w:p>
    <w:p w:rsidR="00204DDA" w:rsidRDefault="00204DDA" w:rsidP="00624E4D">
      <w:pPr>
        <w:jc w:val="both"/>
      </w:pPr>
      <w:r>
        <w:t>3.1. In applicazione, perciò, del principio di tassatività la sentenza deve essere annullata senza rinvio perché il fatto non sussiste.</w:t>
      </w:r>
    </w:p>
    <w:p w:rsidR="00204DDA" w:rsidRDefault="00204DDA" w:rsidP="00624E4D">
      <w:pPr>
        <w:jc w:val="both"/>
      </w:pPr>
      <w:r>
        <w:t>P.Q.M.</w:t>
      </w:r>
    </w:p>
    <w:p w:rsidR="00204DDA" w:rsidRDefault="00204DDA" w:rsidP="00624E4D">
      <w:pPr>
        <w:jc w:val="both"/>
      </w:pPr>
      <w:r>
        <w:lastRenderedPageBreak/>
        <w:t>Annulla senza rinvio la sentenza impugnata</w:t>
      </w:r>
    </w:p>
    <w:sectPr w:rsidR="00204DD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34"/>
    <w:rsid w:val="00204DDA"/>
    <w:rsid w:val="002F79DD"/>
    <w:rsid w:val="00371796"/>
    <w:rsid w:val="00624E4D"/>
    <w:rsid w:val="00641F71"/>
    <w:rsid w:val="00A943A7"/>
    <w:rsid w:val="00BF007E"/>
    <w:rsid w:val="00C32868"/>
    <w:rsid w:val="00C55734"/>
    <w:rsid w:val="00DA3E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777AAA-F051-4C33-A033-85391F0BC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3946476">
      <w:bodyDiv w:val="1"/>
      <w:marLeft w:val="0"/>
      <w:marRight w:val="0"/>
      <w:marTop w:val="0"/>
      <w:marBottom w:val="0"/>
      <w:divBdr>
        <w:top w:val="none" w:sz="0" w:space="0" w:color="auto"/>
        <w:left w:val="none" w:sz="0" w:space="0" w:color="auto"/>
        <w:bottom w:val="none" w:sz="0" w:space="0" w:color="auto"/>
        <w:right w:val="none" w:sz="0" w:space="0" w:color="auto"/>
      </w:divBdr>
      <w:divsChild>
        <w:div w:id="432479672">
          <w:marLeft w:val="0"/>
          <w:marRight w:val="0"/>
          <w:marTop w:val="375"/>
          <w:marBottom w:val="0"/>
          <w:divBdr>
            <w:top w:val="none" w:sz="0" w:space="0" w:color="auto"/>
            <w:left w:val="none" w:sz="0" w:space="0" w:color="auto"/>
            <w:bottom w:val="none" w:sz="0" w:space="0" w:color="auto"/>
            <w:right w:val="none" w:sz="0" w:space="0" w:color="auto"/>
          </w:divBdr>
        </w:div>
      </w:divsChild>
    </w:div>
    <w:div w:id="1563058747">
      <w:bodyDiv w:val="1"/>
      <w:marLeft w:val="0"/>
      <w:marRight w:val="0"/>
      <w:marTop w:val="0"/>
      <w:marBottom w:val="0"/>
      <w:divBdr>
        <w:top w:val="none" w:sz="0" w:space="0" w:color="auto"/>
        <w:left w:val="none" w:sz="0" w:space="0" w:color="auto"/>
        <w:bottom w:val="none" w:sz="0" w:space="0" w:color="auto"/>
        <w:right w:val="none" w:sz="0" w:space="0" w:color="auto"/>
      </w:divBdr>
      <w:divsChild>
        <w:div w:id="1421945790">
          <w:marLeft w:val="0"/>
          <w:marRight w:val="0"/>
          <w:marTop w:val="0"/>
          <w:marBottom w:val="450"/>
          <w:divBdr>
            <w:top w:val="none" w:sz="0" w:space="0" w:color="auto"/>
            <w:left w:val="none" w:sz="0" w:space="0" w:color="auto"/>
            <w:bottom w:val="none" w:sz="0" w:space="0" w:color="auto"/>
            <w:right w:val="none" w:sz="0" w:space="0" w:color="auto"/>
          </w:divBdr>
        </w:div>
        <w:div w:id="532421356">
          <w:marLeft w:val="0"/>
          <w:marRight w:val="15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1081</Words>
  <Characters>6165</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7232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mimmo</dc:creator>
  <cp:lastModifiedBy>CAPUANO GIUSEPPE</cp:lastModifiedBy>
  <cp:revision>2</cp:revision>
  <dcterms:created xsi:type="dcterms:W3CDTF">2019-03-03T22:37:00Z</dcterms:created>
  <dcterms:modified xsi:type="dcterms:W3CDTF">2019-03-03T22:37:00Z</dcterms:modified>
</cp:coreProperties>
</file>